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51" w:rsidRPr="00577EC0" w:rsidRDefault="004D0051" w:rsidP="00D2631B">
      <w:pPr>
        <w:jc w:val="center"/>
        <w:rPr>
          <w:rFonts w:ascii="Times New Roman" w:eastAsia="新細明體" w:hAnsi="Times New Roman" w:cs="Times New Roman"/>
          <w:b/>
          <w:color w:val="000000"/>
          <w:sz w:val="28"/>
          <w:szCs w:val="28"/>
          <w:lang w:val="pt-PT"/>
        </w:rPr>
      </w:pPr>
      <w:r w:rsidRPr="00577EC0">
        <w:rPr>
          <w:rFonts w:ascii="Times New Roman" w:eastAsia="新細明體" w:hAnsi="Times New Roman" w:cs="Times New Roman"/>
          <w:b/>
          <w:color w:val="000000"/>
          <w:sz w:val="28"/>
          <w:szCs w:val="28"/>
          <w:lang w:val="pt-PT"/>
        </w:rPr>
        <w:t>Métodos de consulta e apresentação de requerimento dos serviços do Fundo de Segurança Social</w:t>
      </w:r>
    </w:p>
    <w:p w:rsidR="00BE4D79" w:rsidRPr="00577EC0" w:rsidRDefault="004D0051" w:rsidP="0045046F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</w:pPr>
      <w:r w:rsidRPr="00577EC0"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  <w:t xml:space="preserve">Notas: Para as modalidades de serviços cujo requerimento carece da aparência presencial, tais só podem ser tratados no posto de atendimento provisório no Tap Seac (é </w:t>
      </w:r>
      <w:r w:rsidR="00577EC0" w:rsidRPr="00577EC0"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  <w:t>aconselhável</w:t>
      </w:r>
      <w:r w:rsidRPr="00577EC0"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  <w:t xml:space="preserve"> efectuar a marcação prévia)</w:t>
      </w:r>
    </w:p>
    <w:p w:rsidR="0044141D" w:rsidRPr="00577EC0" w:rsidRDefault="0044141D" w:rsidP="0044141D">
      <w:pPr>
        <w:jc w:val="center"/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</w:pPr>
    </w:p>
    <w:tbl>
      <w:tblPr>
        <w:tblStyle w:val="a3"/>
        <w:tblW w:w="15014" w:type="dxa"/>
        <w:tblLook w:val="04A0" w:firstRow="1" w:lastRow="0" w:firstColumn="1" w:lastColumn="0" w:noHBand="0" w:noVBand="1"/>
      </w:tblPr>
      <w:tblGrid>
        <w:gridCol w:w="2135"/>
        <w:gridCol w:w="5334"/>
        <w:gridCol w:w="1286"/>
        <w:gridCol w:w="2917"/>
        <w:gridCol w:w="1232"/>
        <w:gridCol w:w="2110"/>
      </w:tblGrid>
      <w:tr w:rsidR="004D0051" w:rsidRPr="00577EC0" w:rsidTr="00D2631B">
        <w:trPr>
          <w:tblHeader/>
        </w:trPr>
        <w:tc>
          <w:tcPr>
            <w:tcW w:w="2135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t>Tipos</w:t>
            </w:r>
          </w:p>
        </w:tc>
        <w:tc>
          <w:tcPr>
            <w:tcW w:w="5334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t>Modalidades</w:t>
            </w:r>
          </w:p>
        </w:tc>
        <w:tc>
          <w:tcPr>
            <w:tcW w:w="128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D0051" w:rsidRPr="00577EC0" w:rsidRDefault="00577EC0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b/>
                <w:color w:val="000000" w:themeColor="text1"/>
                <w:lang w:val="pt-PT"/>
              </w:rPr>
              <w:t xml:space="preserve">Aparência </w:t>
            </w:r>
            <w:r w:rsidR="0026503B" w:rsidRPr="00577EC0">
              <w:rPr>
                <w:rFonts w:ascii="Times New Roman" w:eastAsia="標楷體" w:hAnsi="Times New Roman" w:cs="Times New Roman"/>
                <w:b/>
                <w:color w:val="000000" w:themeColor="text1"/>
                <w:lang w:val="pt-PT"/>
              </w:rPr>
              <w:t>presencial</w:t>
            </w:r>
          </w:p>
        </w:tc>
        <w:tc>
          <w:tcPr>
            <w:tcW w:w="2917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b/>
                <w:i/>
                <w:color w:val="000000" w:themeColor="text1"/>
                <w:szCs w:val="24"/>
                <w:lang w:val="pt-PT"/>
              </w:rPr>
              <w:t>Online</w:t>
            </w:r>
            <w:r w:rsidRPr="00577EC0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footnoteReference w:id="1"/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t>Correio</w:t>
            </w:r>
            <w:r w:rsidRPr="00577EC0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footnoteReference w:id="2"/>
            </w:r>
          </w:p>
        </w:tc>
        <w:tc>
          <w:tcPr>
            <w:tcW w:w="2110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t>Quiosques de auto-atendimento</w:t>
            </w:r>
            <w:r w:rsidRPr="00577EC0">
              <w:rPr>
                <w:rStyle w:val="a6"/>
                <w:rFonts w:ascii="Times New Roman" w:eastAsia="標楷體" w:hAnsi="Times New Roman" w:cs="Times New Roman"/>
                <w:b/>
                <w:color w:val="000000" w:themeColor="text1"/>
                <w:szCs w:val="24"/>
                <w:lang w:val="pt-PT"/>
              </w:rPr>
              <w:footnoteReference w:id="3"/>
            </w:r>
          </w:p>
        </w:tc>
      </w:tr>
      <w:tr w:rsidR="0026503B" w:rsidRPr="00577EC0" w:rsidTr="00D2631B">
        <w:trPr>
          <w:trHeight w:val="304"/>
        </w:trPr>
        <w:tc>
          <w:tcPr>
            <w:tcW w:w="2135" w:type="dxa"/>
            <w:vMerge w:val="restart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Contribuições</w:t>
            </w: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  <w:p w:rsidR="0026503B" w:rsidRPr="00577EC0" w:rsidRDefault="0026503B" w:rsidP="0026503B">
            <w:pPr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Requerimento de inscrição do regime facultativo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(Permanecer pelo menos 183 dias)</w:t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tcBorders>
              <w:bottom w:val="single" w:sz="4" w:space="0" w:color="000000"/>
            </w:tcBorders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Início do pagamento das contribuições do regime facultativo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(Trimestre em causa)</w:t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tcBorders>
              <w:top w:val="single" w:sz="4" w:space="0" w:color="000000"/>
            </w:tcBorders>
            <w:vAlign w:val="center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(Trimestre em causa)</w:t>
            </w: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Suspensão das contribuições do regime facultativo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(Trimestre em causa)</w:t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(Trimestre em causa)</w:t>
            </w: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Pagamento das contribuições do regime obrigatório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(Através de serviços de declarações electrónicas)</w:t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44141D" w:rsidRPr="00577EC0" w:rsidTr="00D2631B">
        <w:tc>
          <w:tcPr>
            <w:tcW w:w="2135" w:type="dxa"/>
            <w:vMerge/>
          </w:tcPr>
          <w:p w:rsidR="0044141D" w:rsidRPr="00577EC0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</w:tcPr>
          <w:p w:rsidR="0044141D" w:rsidRPr="00577EC0" w:rsidRDefault="004D0051" w:rsidP="000E5AC9">
            <w:pPr>
              <w:spacing w:line="400" w:lineRule="exact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Pagamento de taxa de contratação de trabalhadores não residentes</w:t>
            </w:r>
          </w:p>
        </w:tc>
        <w:tc>
          <w:tcPr>
            <w:tcW w:w="1286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Requerimento de pagamento retroactivo de contribuições do regime obrigatório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Pagamento das contribuições do regime facultativo (4.</w:t>
            </w:r>
            <w:r w:rsidRPr="00577EC0">
              <w:rPr>
                <w:rFonts w:ascii="Times New Roman" w:eastAsia="標楷體" w:hAnsi="Times New Roman" w:cs="Times New Roman"/>
                <w:szCs w:val="24"/>
                <w:vertAlign w:val="superscript"/>
                <w:lang w:val="pt-PT"/>
              </w:rPr>
              <w:t>o</w:t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trimestre do ano 2019)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Pedido de certidão de conta corrente de beneficiário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Consulta de registo de contribuições de beneficiário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CE3F8F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hyperlink r:id="rId8" w:history="1">
              <w:r w:rsidR="004D0051" w:rsidRPr="00577EC0">
                <w:rPr>
                  <w:rFonts w:ascii="Times New Roman" w:eastAsia="標楷體" w:hAnsi="Times New Roman" w:cs="Times New Roman"/>
                  <w:szCs w:val="24"/>
                  <w:lang w:val="pt-PT"/>
                </w:rPr>
                <w:t>Pedido de certidão de conta corrente do empregador</w:t>
              </w:r>
            </w:hyperlink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26503B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(Através de serviços de declarações electrónicas)</w:t>
            </w: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44141D" w:rsidRPr="00577EC0" w:rsidTr="00D2631B">
        <w:tc>
          <w:tcPr>
            <w:tcW w:w="2135" w:type="dxa"/>
            <w:vMerge/>
          </w:tcPr>
          <w:p w:rsidR="0044141D" w:rsidRPr="00577EC0" w:rsidRDefault="0044141D" w:rsidP="000E5AC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</w:tcPr>
          <w:p w:rsidR="0044141D" w:rsidRPr="00577EC0" w:rsidRDefault="004D0051" w:rsidP="000E5AC9">
            <w:pPr>
              <w:spacing w:line="400" w:lineRule="exact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Matrícula do empregador</w:t>
            </w:r>
          </w:p>
        </w:tc>
        <w:tc>
          <w:tcPr>
            <w:tcW w:w="1286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44141D" w:rsidRPr="00577EC0" w:rsidRDefault="0044141D" w:rsidP="0044141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Alteração de dados de empregador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Queixa sobre a falta de contribuições / contribuições a mais por empregador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4D0051" w:rsidRPr="00577EC0" w:rsidTr="00D2631B">
        <w:tc>
          <w:tcPr>
            <w:tcW w:w="2135" w:type="dxa"/>
            <w:vMerge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Pedido de serviços de declarações electrónicas</w:t>
            </w:r>
          </w:p>
        </w:tc>
        <w:tc>
          <w:tcPr>
            <w:tcW w:w="1286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4D0051" w:rsidRPr="00577EC0" w:rsidTr="00D2631B">
        <w:trPr>
          <w:trHeight w:val="318"/>
        </w:trPr>
        <w:tc>
          <w:tcPr>
            <w:tcW w:w="2135" w:type="dxa"/>
            <w:vMerge/>
            <w:tcBorders>
              <w:bottom w:val="single" w:sz="4" w:space="0" w:color="auto"/>
            </w:tcBorders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tcBorders>
              <w:bottom w:val="single" w:sz="4" w:space="0" w:color="auto"/>
            </w:tcBorders>
            <w:vAlign w:val="center"/>
          </w:tcPr>
          <w:p w:rsidR="004D0051" w:rsidRPr="00577EC0" w:rsidRDefault="004D0051" w:rsidP="004D0051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Outras entradas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4D0051" w:rsidRPr="00577EC0" w:rsidRDefault="004D0051" w:rsidP="004D005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 w:val="restart"/>
            <w:tcBorders>
              <w:top w:val="nil"/>
            </w:tcBorders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Prestações</w:t>
            </w:r>
          </w:p>
        </w:tc>
        <w:tc>
          <w:tcPr>
            <w:tcW w:w="5334" w:type="dxa"/>
            <w:tcBorders>
              <w:top w:val="nil"/>
            </w:tcBorders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Pensão para idosos</w:t>
            </w:r>
            <w:r w:rsidRPr="00577EC0">
              <w:rPr>
                <w:rStyle w:val="a6"/>
                <w:rFonts w:ascii="Times New Roman" w:eastAsia="標楷體" w:hAnsi="Times New Roman" w:cs="Times New Roman"/>
                <w:szCs w:val="24"/>
                <w:lang w:val="pt-PT"/>
              </w:rPr>
              <w:footnoteReference w:id="4"/>
            </w:r>
          </w:p>
        </w:tc>
        <w:tc>
          <w:tcPr>
            <w:tcW w:w="1286" w:type="dxa"/>
            <w:tcBorders>
              <w:top w:val="nil"/>
            </w:tcBorders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tcBorders>
              <w:top w:val="nil"/>
            </w:tcBorders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tcBorders>
              <w:top w:val="nil"/>
            </w:tcBorders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tcBorders>
              <w:top w:val="nil"/>
            </w:tcBorders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Pensão de invalidez</w:t>
            </w:r>
            <w:r w:rsidRPr="00577EC0">
              <w:rPr>
                <w:rStyle w:val="a6"/>
                <w:rFonts w:ascii="Times New Roman" w:eastAsia="標楷體" w:hAnsi="Times New Roman" w:cs="Times New Roman"/>
                <w:szCs w:val="24"/>
                <w:lang w:val="pt-PT"/>
              </w:rPr>
              <w:footnoteReference w:id="5"/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Subsídio de desemprego, subsídio de doença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Subsídio de nascimento, subsídio de casamento, subsídio de funeral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Prova de vida (até ao final de Março)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Impressão e consulta de registo de prestações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26503B" w:rsidRPr="00577EC0" w:rsidTr="00D2631B">
        <w:tc>
          <w:tcPr>
            <w:tcW w:w="2135" w:type="dxa"/>
            <w:vMerge w:val="restart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Assuntos Gerais do Regime de Previdência</w:t>
            </w: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Arial" w:eastAsiaTheme="majorEastAsia" w:hAnsi="Arial" w:cs="Arial"/>
                <w:color w:val="DF5400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Consulta de lista de atribuição de verba do ano 2019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Consulta de lista de atribuição de outros anos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Consulta de verba de incentivo básico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Consulta de saldo de subconta de gestão do Governo 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Pedido de levantamento de verbas da subconta de gestão do Governo (titulares de contas que tenham completado 65 anos de idade e que estejam a receber a pensão para idosos, pensão de invalidez do FSS, o subsídio para idosos ou subsídio de invalidez especial do Instituto de Acção Social)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Reclamações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Arial" w:eastAsiaTheme="majorEastAsia" w:hAnsi="Arial" w:cs="Arial"/>
                <w:color w:val="DF5400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Pedido de levantamento de verbas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kern w:val="0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 w:val="restart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>Gestão de Contas do Regime de Previdência</w:t>
            </w: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Pedido de consulta </w:t>
            </w:r>
            <w:r w:rsidRPr="00577EC0">
              <w:rPr>
                <w:rFonts w:ascii="Times New Roman" w:eastAsia="標楷體" w:hAnsi="Times New Roman" w:cs="Times New Roman"/>
                <w:i/>
                <w:szCs w:val="24"/>
                <w:lang w:val="pt-PT"/>
              </w:rPr>
              <w:t>online</w:t>
            </w: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t xml:space="preserve"> de saldo de contribuições de previdência por empregador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Alteração de dados pessoais / dados de comunicação de empregador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Transferência de verbas da subconta de gestão do Governo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 xml:space="preserve">Transferência de verba para a subconta de gestão do </w:t>
            </w: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lastRenderedPageBreak/>
              <w:t>Governo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lastRenderedPageBreak/>
              <w:sym w:font="Wingdings" w:char="F0FC"/>
            </w: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Constituição do plano conjunto de previdência pela 1.ª vez por empregador (Entidades gestoras de fundos)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Adicionamento de plano conjunto de previdência por empregador (Entidades gestoras de fundos)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Alteração de plano conjunto de previdência por empregador (Entidades gestoras de fundos)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Mudança de entidade gestora de fundos por empregador (Entidades gestoras de fundos)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  <w:tr w:rsidR="0026503B" w:rsidRPr="00577EC0" w:rsidTr="00D2631B">
        <w:tc>
          <w:tcPr>
            <w:tcW w:w="2135" w:type="dxa"/>
            <w:vMerge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5334" w:type="dxa"/>
            <w:vAlign w:val="center"/>
          </w:tcPr>
          <w:p w:rsidR="0026503B" w:rsidRPr="00577EC0" w:rsidRDefault="0026503B" w:rsidP="0026503B">
            <w:pPr>
              <w:spacing w:before="60" w:after="60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577EC0">
              <w:rPr>
                <w:rFonts w:ascii="Times New Roman" w:hAnsi="Times New Roman" w:cs="Times New Roman"/>
                <w:szCs w:val="24"/>
                <w:lang w:val="pt-PT"/>
              </w:rPr>
              <w:t>Planos individuais de previdência (Entidades gestoras de fundos)</w:t>
            </w:r>
          </w:p>
        </w:tc>
        <w:tc>
          <w:tcPr>
            <w:tcW w:w="1286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2917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232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577EC0">
              <w:rPr>
                <w:rFonts w:ascii="Times New Roman" w:eastAsia="標楷體" w:hAnsi="Times New Roman" w:cs="Times New Roman"/>
                <w:szCs w:val="24"/>
                <w:lang w:val="pt-PT"/>
              </w:rPr>
              <w:sym w:font="Wingdings" w:char="F0FC"/>
            </w:r>
          </w:p>
        </w:tc>
        <w:tc>
          <w:tcPr>
            <w:tcW w:w="2110" w:type="dxa"/>
            <w:vAlign w:val="center"/>
          </w:tcPr>
          <w:p w:rsidR="0026503B" w:rsidRPr="00577EC0" w:rsidRDefault="0026503B" w:rsidP="002650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</w:tr>
    </w:tbl>
    <w:p w:rsidR="0044141D" w:rsidRPr="00577EC0" w:rsidRDefault="0044141D" w:rsidP="0044141D">
      <w:pPr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</w:pPr>
    </w:p>
    <w:p w:rsidR="0026503B" w:rsidRPr="00577EC0" w:rsidRDefault="0026503B" w:rsidP="0026503B">
      <w:pPr>
        <w:tabs>
          <w:tab w:val="left" w:pos="426"/>
        </w:tabs>
        <w:spacing w:beforeLines="50" w:before="180"/>
        <w:jc w:val="center"/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</w:pPr>
      <w:r w:rsidRPr="00577EC0"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  <w:t xml:space="preserve">Para mais informações, os residentes podem ligar para a Linha de Informações de 24 horas (28238238 para o Regime da Segurança Social ou 28230230 para o Regime de Previdência Central não Obrigatório), telefonar para o número 28532850 durante o horário de expediente ou visitar o sítio electrónico do FSS: </w:t>
      </w:r>
      <w:hyperlink r:id="rId9" w:history="1">
        <w:r w:rsidRPr="00577EC0">
          <w:rPr>
            <w:rFonts w:ascii="Times New Roman" w:eastAsia="標楷體" w:hAnsi="Times New Roman" w:cs="Times New Roman"/>
            <w:b/>
            <w:color w:val="C45911" w:themeColor="accent2" w:themeShade="BF"/>
            <w:u w:val="single"/>
            <w:lang w:val="pt-PT"/>
          </w:rPr>
          <w:t>www.fss.gov.mo</w:t>
        </w:r>
      </w:hyperlink>
      <w:r w:rsidRPr="00577EC0">
        <w:rPr>
          <w:rFonts w:ascii="Times New Roman" w:eastAsia="標楷體" w:hAnsi="Times New Roman" w:cs="Times New Roman"/>
          <w:b/>
          <w:color w:val="C45911" w:themeColor="accent2" w:themeShade="BF"/>
          <w:lang w:val="pt-PT"/>
        </w:rPr>
        <w:t>.</w:t>
      </w:r>
    </w:p>
    <w:p w:rsidR="009E3629" w:rsidRPr="00577EC0" w:rsidRDefault="009E3629" w:rsidP="0026503B">
      <w:pPr>
        <w:tabs>
          <w:tab w:val="left" w:pos="426"/>
        </w:tabs>
        <w:spacing w:beforeLines="50" w:before="180"/>
        <w:jc w:val="center"/>
        <w:rPr>
          <w:rFonts w:ascii="Times New Roman" w:eastAsia="標楷體" w:hAnsi="Times New Roman" w:cs="Times New Roman"/>
          <w:b/>
          <w:lang w:val="pt-PT"/>
        </w:rPr>
      </w:pPr>
    </w:p>
    <w:sectPr w:rsidR="009E3629" w:rsidRPr="00577EC0" w:rsidSect="00577EC0">
      <w:footerReference w:type="default" r:id="rId10"/>
      <w:pgSz w:w="16840" w:h="11900" w:orient="landscape"/>
      <w:pgMar w:top="993" w:right="1021" w:bottom="1276" w:left="1021" w:header="851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8F" w:rsidRDefault="00CE3F8F" w:rsidP="00FE7CE0">
      <w:r>
        <w:separator/>
      </w:r>
    </w:p>
  </w:endnote>
  <w:endnote w:type="continuationSeparator" w:id="0">
    <w:p w:rsidR="00CE3F8F" w:rsidRDefault="00CE3F8F" w:rsidP="00F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3B" w:rsidRPr="00870F41" w:rsidRDefault="0026503B" w:rsidP="0026503B">
    <w:pPr>
      <w:pStyle w:val="af1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lang w:val="pt-BR"/>
      </w:rPr>
      <w:t>Actualizado em</w:t>
    </w:r>
    <w:r>
      <w:rPr>
        <w:rFonts w:ascii="Times New Roman" w:eastAsia="標楷體" w:hAnsi="Times New Roman" w:cs="Times New Roman"/>
      </w:rPr>
      <w:t>: 15 de Fevereiro de 2020</w:t>
    </w:r>
  </w:p>
  <w:p w:rsidR="0045046F" w:rsidRPr="0026503B" w:rsidRDefault="0045046F" w:rsidP="0026503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8F" w:rsidRDefault="00CE3F8F" w:rsidP="00FE7CE0">
      <w:r>
        <w:separator/>
      </w:r>
    </w:p>
  </w:footnote>
  <w:footnote w:type="continuationSeparator" w:id="0">
    <w:p w:rsidR="00CE3F8F" w:rsidRDefault="00CE3F8F" w:rsidP="00FE7CE0">
      <w:r>
        <w:continuationSeparator/>
      </w:r>
    </w:p>
  </w:footnote>
  <w:footnote w:id="1">
    <w:p w:rsidR="004D0051" w:rsidRPr="00EC2F1A" w:rsidRDefault="004D0051" w:rsidP="00FE7CE0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hyperlink r:id="rId1" w:history="1">
        <w:r w:rsidRPr="00653F90">
          <w:rPr>
            <w:rStyle w:val="a7"/>
            <w:rFonts w:ascii="Times New Roman" w:eastAsia="標楷體" w:hAnsi="Times New Roman" w:cs="Times New Roman"/>
            <w:sz w:val="20"/>
            <w:szCs w:val="20"/>
          </w:rPr>
          <w:t>http://www.fss.gov.mo</w:t>
        </w:r>
      </w:hyperlink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2">
    <w:p w:rsidR="004D0051" w:rsidRPr="00C675FA" w:rsidRDefault="004D0051" w:rsidP="00FE7CE0">
      <w:pPr>
        <w:spacing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122471">
        <w:rPr>
          <w:rFonts w:ascii="Times New Roman" w:eastAsia="標楷體" w:hAnsi="Times New Roman" w:cs="Times New Roman"/>
          <w:sz w:val="20"/>
          <w:szCs w:val="20"/>
        </w:rPr>
        <w:t>Sede do Fundo de Segurança Social, sita na Alameda Dr. Carlos d'Assumpção, n.</w:t>
      </w:r>
      <w:r w:rsidRPr="00122471">
        <w:rPr>
          <w:rFonts w:ascii="Times New Roman" w:eastAsia="標楷體" w:hAnsi="Times New Roman" w:cs="Times New Roman"/>
          <w:sz w:val="20"/>
          <w:szCs w:val="20"/>
          <w:vertAlign w:val="superscript"/>
        </w:rPr>
        <w:t>os</w:t>
      </w:r>
      <w:r w:rsidRPr="00122471">
        <w:rPr>
          <w:rFonts w:ascii="Times New Roman" w:eastAsia="標楷體" w:hAnsi="Times New Roman" w:cs="Times New Roman"/>
          <w:sz w:val="20"/>
          <w:szCs w:val="20"/>
        </w:rPr>
        <w:t> 249-263, Edf. China Civil Plaza, 18.º andar, Macau</w:t>
      </w:r>
      <w:r w:rsidRPr="00C675FA">
        <w:rPr>
          <w:rFonts w:ascii="Times New Roman" w:eastAsia="標楷體" w:hAnsi="Times New Roman" w:cs="Times New Roman"/>
          <w:sz w:val="20"/>
          <w:szCs w:val="20"/>
        </w:rPr>
        <w:t>;</w:t>
      </w:r>
    </w:p>
  </w:footnote>
  <w:footnote w:id="3">
    <w:p w:rsidR="004D0051" w:rsidRPr="00FE7CE0" w:rsidRDefault="004D0051" w:rsidP="00FE7CE0">
      <w:pPr>
        <w:spacing w:line="320" w:lineRule="exact"/>
        <w:rPr>
          <w:rFonts w:ascii="Times New Roman" w:eastAsia="Kaiti TC" w:hAnsi="Times New Roman" w:cs="Times New Roman"/>
          <w:sz w:val="20"/>
          <w:szCs w:val="20"/>
        </w:rPr>
      </w:pPr>
      <w:r w:rsidRPr="00EC2F1A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EC2F1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330A7">
        <w:rPr>
          <w:rFonts w:ascii="Times New Roman" w:eastAsia="標楷體" w:hAnsi="Times New Roman" w:cs="Times New Roman"/>
          <w:sz w:val="20"/>
          <w:szCs w:val="20"/>
        </w:rPr>
        <w:fldChar w:fldCharType="begin"/>
      </w:r>
      <w:r w:rsidR="000330A7">
        <w:rPr>
          <w:rFonts w:ascii="Times New Roman" w:eastAsia="標楷體" w:hAnsi="Times New Roman" w:cs="Times New Roman"/>
          <w:sz w:val="20"/>
          <w:szCs w:val="20"/>
        </w:rPr>
        <w:instrText xml:space="preserve"> HYPERLINK "</w:instrText>
      </w:r>
      <w:r w:rsidR="000330A7" w:rsidRPr="00EC2F1A">
        <w:rPr>
          <w:rFonts w:ascii="Times New Roman" w:eastAsia="標楷體" w:hAnsi="Times New Roman" w:cs="Times New Roman"/>
          <w:sz w:val="20"/>
          <w:szCs w:val="20"/>
        </w:rPr>
        <w:instrText>https://www.fss.gov.mo/</w:instrText>
      </w:r>
      <w:r w:rsidR="000330A7">
        <w:rPr>
          <w:rFonts w:ascii="Times New Roman" w:eastAsia="標楷體" w:hAnsi="Times New Roman" w:cs="Times New Roman"/>
          <w:sz w:val="20"/>
          <w:szCs w:val="20"/>
        </w:rPr>
        <w:instrText>p</w:instrText>
      </w:r>
      <w:r w:rsidR="000330A7" w:rsidRPr="00EC2F1A">
        <w:rPr>
          <w:rFonts w:ascii="Times New Roman" w:eastAsia="標楷體" w:hAnsi="Times New Roman" w:cs="Times New Roman"/>
          <w:sz w:val="20"/>
          <w:szCs w:val="20"/>
        </w:rPr>
        <w:instrText>t/sites/kiosk</w:instrText>
      </w:r>
      <w:r w:rsidR="000330A7">
        <w:rPr>
          <w:rFonts w:ascii="Times New Roman" w:eastAsia="標楷體" w:hAnsi="Times New Roman" w:cs="Times New Roman"/>
          <w:sz w:val="20"/>
          <w:szCs w:val="20"/>
        </w:rPr>
        <w:instrText xml:space="preserve">" </w:instrText>
      </w:r>
      <w:r w:rsidR="000330A7">
        <w:rPr>
          <w:rFonts w:ascii="Times New Roman" w:eastAsia="標楷體" w:hAnsi="Times New Roman" w:cs="Times New Roman"/>
          <w:sz w:val="20"/>
          <w:szCs w:val="20"/>
        </w:rPr>
        <w:fldChar w:fldCharType="separate"/>
      </w:r>
      <w:r w:rsidR="000330A7" w:rsidRPr="006F00B9">
        <w:rPr>
          <w:rStyle w:val="a7"/>
          <w:rFonts w:ascii="Times New Roman" w:eastAsia="標楷體" w:hAnsi="Times New Roman" w:cs="Times New Roman"/>
          <w:sz w:val="20"/>
          <w:szCs w:val="20"/>
        </w:rPr>
        <w:t>https://www.fss.gov.mo/pt/sites/kiosk</w:t>
      </w:r>
      <w:r w:rsidR="000330A7">
        <w:rPr>
          <w:rFonts w:ascii="Times New Roman" w:eastAsia="標楷體" w:hAnsi="Times New Roman" w:cs="Times New Roman"/>
          <w:sz w:val="20"/>
          <w:szCs w:val="20"/>
        </w:rPr>
        <w:fldChar w:fldCharType="end"/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</w:p>
  </w:footnote>
  <w:footnote w:id="4">
    <w:p w:rsidR="0026503B" w:rsidRPr="004F4478" w:rsidRDefault="0026503B" w:rsidP="004F4478">
      <w:pPr>
        <w:snapToGrid w:val="0"/>
        <w:spacing w:before="120" w:line="240" w:lineRule="atLeast"/>
        <w:ind w:left="227" w:hanging="227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4F4478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4F4478">
        <w:rPr>
          <w:rFonts w:ascii="Times New Roman" w:eastAsia="標楷體" w:hAnsi="Times New Roman" w:cs="Times New Roman"/>
          <w:sz w:val="20"/>
          <w:szCs w:val="20"/>
          <w:vertAlign w:val="superscript"/>
        </w:rPr>
        <w:t xml:space="preserve">　</w:t>
      </w:r>
      <w:r w:rsidRPr="004F4478">
        <w:rPr>
          <w:rFonts w:ascii="Times New Roman" w:eastAsia="標楷體" w:hAnsi="Times New Roman" w:cs="Times New Roman"/>
          <w:sz w:val="20"/>
          <w:szCs w:val="20"/>
        </w:rPr>
        <w:t xml:space="preserve">Pensão </w:t>
      </w:r>
      <w:r>
        <w:rPr>
          <w:rFonts w:ascii="Times New Roman" w:eastAsia="標楷體" w:hAnsi="Times New Roman" w:cs="Times New Roman"/>
          <w:sz w:val="20"/>
          <w:szCs w:val="20"/>
        </w:rPr>
        <w:t xml:space="preserve">para idosos: </w:t>
      </w:r>
      <w:r w:rsidRPr="004F4478">
        <w:rPr>
          <w:rFonts w:ascii="Times New Roman" w:eastAsia="標楷體" w:hAnsi="Times New Roman" w:cs="Times New Roman"/>
          <w:sz w:val="20"/>
          <w:szCs w:val="20"/>
        </w:rPr>
        <w:t>Para os casos de residência em Macau, procede-se à entrevista ou confirmação de identificação (Prova de vida); para os casos de residência fora de Macau, procede-se à entrega de documentos comprovativos do local (vide os documentos da prova de vida no exterior);</w:t>
      </w:r>
    </w:p>
  </w:footnote>
  <w:footnote w:id="5">
    <w:p w:rsidR="0026503B" w:rsidRDefault="0026503B" w:rsidP="004F4478">
      <w:pPr>
        <w:snapToGrid w:val="0"/>
        <w:spacing w:before="120" w:line="240" w:lineRule="atLeast"/>
      </w:pPr>
      <w:r w:rsidRPr="004F4478">
        <w:rPr>
          <w:rFonts w:ascii="Times New Roman" w:eastAsia="標楷體" w:hAnsi="Times New Roman" w:cs="Times New Roman"/>
          <w:sz w:val="20"/>
          <w:szCs w:val="20"/>
          <w:vertAlign w:val="superscript"/>
        </w:rPr>
        <w:footnoteRef/>
      </w:r>
      <w:r w:rsidRPr="004F4478">
        <w:rPr>
          <w:rFonts w:ascii="Times New Roman" w:eastAsia="標楷體" w:hAnsi="Times New Roman" w:cs="Times New Roman"/>
          <w:sz w:val="20"/>
          <w:szCs w:val="20"/>
        </w:rPr>
        <w:t xml:space="preserve"> Pensão de invalidez: Depois de receber o pedido, procede-se por via telefónica a confirmação de certificação de doença e marcação de consulta de junta médica.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0"/>
    <w:rsid w:val="00030D70"/>
    <w:rsid w:val="000330A7"/>
    <w:rsid w:val="00073A81"/>
    <w:rsid w:val="00073C06"/>
    <w:rsid w:val="000A1332"/>
    <w:rsid w:val="000C720A"/>
    <w:rsid w:val="002543C3"/>
    <w:rsid w:val="0026503B"/>
    <w:rsid w:val="002969D1"/>
    <w:rsid w:val="00316179"/>
    <w:rsid w:val="003534F5"/>
    <w:rsid w:val="003722C3"/>
    <w:rsid w:val="0037351A"/>
    <w:rsid w:val="0044141D"/>
    <w:rsid w:val="0045046F"/>
    <w:rsid w:val="0049256B"/>
    <w:rsid w:val="004D0051"/>
    <w:rsid w:val="00507F0B"/>
    <w:rsid w:val="00510514"/>
    <w:rsid w:val="00542C9D"/>
    <w:rsid w:val="00577EC0"/>
    <w:rsid w:val="00675677"/>
    <w:rsid w:val="006B7CF4"/>
    <w:rsid w:val="00733C1B"/>
    <w:rsid w:val="0077765F"/>
    <w:rsid w:val="007C7382"/>
    <w:rsid w:val="00860151"/>
    <w:rsid w:val="0090690A"/>
    <w:rsid w:val="009A7FCA"/>
    <w:rsid w:val="009E3629"/>
    <w:rsid w:val="00AE6B4C"/>
    <w:rsid w:val="00B42C37"/>
    <w:rsid w:val="00BC0D81"/>
    <w:rsid w:val="00BE4D79"/>
    <w:rsid w:val="00C31C12"/>
    <w:rsid w:val="00C5722B"/>
    <w:rsid w:val="00CD146F"/>
    <w:rsid w:val="00CE3F8F"/>
    <w:rsid w:val="00D2631B"/>
    <w:rsid w:val="00D27F9E"/>
    <w:rsid w:val="00D302F3"/>
    <w:rsid w:val="00E039E9"/>
    <w:rsid w:val="00E53121"/>
    <w:rsid w:val="00E72FBD"/>
    <w:rsid w:val="00EC2F1A"/>
    <w:rsid w:val="00EE6965"/>
    <w:rsid w:val="00F03AA6"/>
    <w:rsid w:val="00F94411"/>
    <w:rsid w:val="00FB4941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.gov.mo/pt/social/social-guide?id=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ss.gov.m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s.gov.m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42D58-8AC5-4655-8F0B-5CDA497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29</cp:revision>
  <cp:lastPrinted>2020-02-02T04:05:00Z</cp:lastPrinted>
  <dcterms:created xsi:type="dcterms:W3CDTF">2020-02-01T06:02:00Z</dcterms:created>
  <dcterms:modified xsi:type="dcterms:W3CDTF">2020-02-15T09:41:00Z</dcterms:modified>
</cp:coreProperties>
</file>