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00" w:rsidRPr="007A3D00" w:rsidRDefault="007A3D00" w:rsidP="007A3D00">
      <w:pPr>
        <w:pStyle w:val="a3"/>
        <w:spacing w:line="400" w:lineRule="exact"/>
        <w:jc w:val="both"/>
        <w:rPr>
          <w:rFonts w:ascii="Garamond" w:hAnsi="Garamond"/>
          <w:bCs/>
          <w:sz w:val="28"/>
        </w:rPr>
      </w:pPr>
      <w:r w:rsidRPr="007A3D00">
        <w:rPr>
          <w:rFonts w:ascii="Garamond" w:hAnsi="Garamond"/>
          <w:bCs/>
          <w:sz w:val="28"/>
        </w:rPr>
        <w:t>附表</w:t>
      </w:r>
      <w:proofErr w:type="spellStart"/>
      <w:r w:rsidRPr="007A3D00">
        <w:rPr>
          <w:rFonts w:ascii="Garamond" w:hAnsi="Garamond"/>
          <w:bCs/>
          <w:sz w:val="28"/>
        </w:rPr>
        <w:t>Anexo</w:t>
      </w:r>
      <w:proofErr w:type="spellEnd"/>
      <w:r w:rsidRPr="007A3D00">
        <w:rPr>
          <w:rFonts w:ascii="Garamond" w:hAnsi="Garamond"/>
          <w:bCs/>
          <w:sz w:val="28"/>
        </w:rPr>
        <w:t>：</w:t>
      </w:r>
    </w:p>
    <w:p w:rsidR="007A3D00" w:rsidRPr="00CE7168" w:rsidRDefault="007A3D00" w:rsidP="007A3D00">
      <w:pPr>
        <w:pStyle w:val="a3"/>
        <w:spacing w:line="400" w:lineRule="exact"/>
        <w:jc w:val="both"/>
        <w:rPr>
          <w:rFonts w:ascii="新細明體" w:hAnsi="新細明體"/>
          <w:bCs/>
        </w:rPr>
      </w:pPr>
    </w:p>
    <w:p w:rsidR="007A3D00" w:rsidRPr="00CE7168" w:rsidRDefault="007A3D00" w:rsidP="00CE7168">
      <w:pPr>
        <w:jc w:val="both"/>
        <w:rPr>
          <w:rFonts w:ascii="新細明體" w:hAnsi="新細明體"/>
          <w:b/>
        </w:rPr>
      </w:pPr>
      <w:r w:rsidRPr="00CE7168">
        <w:rPr>
          <w:rFonts w:ascii="新細明體" w:hAnsi="新細明體" w:hint="eastAsia"/>
          <w:b/>
        </w:rPr>
        <w:t>表</w:t>
      </w:r>
      <w:proofErr w:type="gramStart"/>
      <w:r w:rsidRPr="00CE7168">
        <w:rPr>
          <w:rFonts w:ascii="新細明體" w:hAnsi="新細明體" w:hint="eastAsia"/>
          <w:b/>
        </w:rPr>
        <w:t>一</w:t>
      </w:r>
      <w:proofErr w:type="gramEnd"/>
      <w:r w:rsidRPr="00CE7168">
        <w:rPr>
          <w:rFonts w:ascii="新細明體" w:hAnsi="新細明體" w:hint="eastAsia"/>
          <w:b/>
        </w:rPr>
        <w:t>. 休漁期澳門內港漁船調查登革熱病媒指數歷年調查結果的比較(2006~2018)</w:t>
      </w:r>
    </w:p>
    <w:p w:rsidR="007A3D00" w:rsidRPr="00CE7168" w:rsidRDefault="007A3D00" w:rsidP="00CE7168">
      <w:pPr>
        <w:jc w:val="both"/>
        <w:rPr>
          <w:rFonts w:ascii="Garamond" w:hAnsi="Garamond"/>
          <w:b/>
          <w:lang w:val="pt-PT"/>
        </w:rPr>
      </w:pPr>
      <w:r w:rsidRPr="00CE7168">
        <w:rPr>
          <w:rFonts w:ascii="Garamond" w:hAnsi="Garamond"/>
          <w:b/>
          <w:lang w:val="pt-PT"/>
        </w:rPr>
        <w:t>Tabela I. Comparação dos índices de vectores transmissores da Febre de Dengue em todas as pesquisas efectuadas no Porto Interior de Macau durante o período de defesa (2006~2018)</w:t>
      </w:r>
    </w:p>
    <w:p w:rsidR="007A3D00" w:rsidRPr="000D03ED" w:rsidRDefault="007A3D00" w:rsidP="007A3D00">
      <w:pPr>
        <w:rPr>
          <w:rFonts w:ascii="新細明體" w:hAnsi="新細明體"/>
          <w:lang w:val="pt-PT"/>
        </w:rPr>
      </w:pPr>
      <w:bookmarkStart w:id="0" w:name="_GoBack"/>
      <w:bookmarkEnd w:id="0"/>
    </w:p>
    <w:tbl>
      <w:tblPr>
        <w:tblW w:w="8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2065"/>
        <w:gridCol w:w="2065"/>
        <w:gridCol w:w="2065"/>
      </w:tblGrid>
      <w:tr w:rsidR="007A3D00" w:rsidRPr="007A3D00" w:rsidTr="007A3D00">
        <w:trPr>
          <w:trHeight w:val="34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>
            <w:pPr>
              <w:rPr>
                <w:rFonts w:ascii="Garamond" w:hAnsi="Garamond"/>
                <w:lang w:val="pt-PT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>
            <w:pPr>
              <w:widowControl/>
              <w:jc w:val="center"/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>布氏指數</w:t>
            </w:r>
          </w:p>
          <w:p w:rsidR="007A3D00" w:rsidRPr="007A3D00" w:rsidRDefault="007A3D00">
            <w:pPr>
              <w:widowControl/>
              <w:jc w:val="center"/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</w:pPr>
            <w:proofErr w:type="spellStart"/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>Índice</w:t>
            </w:r>
            <w:proofErr w:type="spellEnd"/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>Bretaeu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>
            <w:pPr>
              <w:widowControl/>
              <w:jc w:val="center"/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>房屋指數</w:t>
            </w:r>
          </w:p>
          <w:p w:rsidR="007A3D00" w:rsidRPr="007A3D00" w:rsidRDefault="007A3D00">
            <w:pPr>
              <w:widowControl/>
              <w:jc w:val="center"/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</w:pPr>
            <w:proofErr w:type="spellStart"/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>Índice</w:t>
            </w:r>
            <w:proofErr w:type="spellEnd"/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>Habitação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>
            <w:pPr>
              <w:widowControl/>
              <w:jc w:val="center"/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>容器指數</w:t>
            </w:r>
          </w:p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</w:pPr>
            <w:proofErr w:type="spellStart"/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>Índice</w:t>
            </w:r>
            <w:proofErr w:type="spellEnd"/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 w:rsidRPr="007A3D00">
              <w:rPr>
                <w:rFonts w:ascii="Garamond" w:hAnsi="Garamond" w:cs="新細明體"/>
                <w:b/>
                <w:color w:val="000000"/>
                <w:kern w:val="0"/>
                <w:sz w:val="22"/>
                <w:szCs w:val="22"/>
              </w:rPr>
              <w:t>Recipiente</w:t>
            </w:r>
            <w:proofErr w:type="spellEnd"/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2006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0.1%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2007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3.8%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1.0%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2008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4.4%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0.7%</w:t>
            </w:r>
          </w:p>
        </w:tc>
      </w:tr>
      <w:tr w:rsidR="007A3D00" w:rsidRPr="007A3D00" w:rsidTr="007A3D00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2009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2010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6.7%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2.0%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2011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0.4%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2012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5.6%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0.8%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2013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15.6%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2.1%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2014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19.5%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6.0%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2015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14.6%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2.6%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2016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12.7%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1.9%</w:t>
            </w:r>
          </w:p>
        </w:tc>
      </w:tr>
      <w:tr w:rsidR="007A3D00" w:rsidRPr="007A3D00" w:rsidTr="007A3D00">
        <w:trPr>
          <w:trHeight w:val="3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2017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14.3%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1.6%</w:t>
            </w:r>
          </w:p>
        </w:tc>
      </w:tr>
      <w:tr w:rsidR="007A3D00" w:rsidRPr="007A3D00" w:rsidTr="007A3D00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2018</w:t>
            </w: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21.6%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D00" w:rsidRPr="007A3D00" w:rsidRDefault="007A3D00" w:rsidP="007A3D00">
            <w:pPr>
              <w:widowControl/>
              <w:jc w:val="center"/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</w:pPr>
            <w:r w:rsidRPr="007A3D00">
              <w:rPr>
                <w:rFonts w:ascii="Garamond" w:hAnsi="Garamond" w:cs="新細明體"/>
                <w:color w:val="000000"/>
                <w:kern w:val="0"/>
                <w:sz w:val="22"/>
                <w:szCs w:val="22"/>
              </w:rPr>
              <w:t>8.0%</w:t>
            </w:r>
          </w:p>
        </w:tc>
      </w:tr>
    </w:tbl>
    <w:p w:rsidR="007A3D00" w:rsidRDefault="007A3D00" w:rsidP="007A3D00">
      <w:pPr>
        <w:rPr>
          <w:rFonts w:ascii="新細明體" w:hAnsi="新細明體" w:cs="新細明體"/>
        </w:rPr>
      </w:pPr>
    </w:p>
    <w:p w:rsidR="007A3D00" w:rsidRPr="0048396B" w:rsidRDefault="007A3D00" w:rsidP="007A3D00">
      <w:pPr>
        <w:rPr>
          <w:rFonts w:ascii="新細明體" w:hAnsi="新細明體" w:cs="新細明體"/>
          <w:b/>
        </w:rPr>
      </w:pPr>
      <w:r w:rsidRPr="0048396B">
        <w:rPr>
          <w:rFonts w:ascii="新細明體" w:hAnsi="新細明體" w:cs="新細明體" w:hint="eastAsia"/>
          <w:b/>
        </w:rPr>
        <w:t xml:space="preserve">圖一  </w:t>
      </w:r>
      <w:r w:rsidRPr="0048396B">
        <w:rPr>
          <w:rFonts w:ascii="新細明體" w:hAnsi="新細明體" w:hint="eastAsia"/>
          <w:b/>
        </w:rPr>
        <w:t>休漁期漁船</w:t>
      </w:r>
      <w:r w:rsidRPr="0048396B">
        <w:rPr>
          <w:rFonts w:ascii="新細明體" w:hAnsi="新細明體" w:cs="新細明體" w:hint="eastAsia"/>
          <w:b/>
        </w:rPr>
        <w:t>布氏指數</w:t>
      </w:r>
      <w:r w:rsidRPr="0048396B">
        <w:rPr>
          <w:rFonts w:ascii="新細明體" w:hAnsi="新細明體" w:hint="eastAsia"/>
          <w:b/>
          <w:bCs/>
        </w:rPr>
        <w:t>，</w:t>
      </w:r>
      <w:r w:rsidRPr="0048396B">
        <w:rPr>
          <w:rFonts w:ascii="新細明體" w:hAnsi="新細明體" w:cs="新細明體" w:hint="eastAsia"/>
          <w:b/>
        </w:rPr>
        <w:t>2006~2018</w:t>
      </w:r>
    </w:p>
    <w:p w:rsidR="0048396B" w:rsidRPr="0048396B" w:rsidRDefault="0048396B" w:rsidP="0048396B">
      <w:pPr>
        <w:rPr>
          <w:rFonts w:ascii="Garamond" w:hAnsi="Garamond"/>
          <w:b/>
          <w:bCs/>
          <w:lang w:val="pt-PT"/>
        </w:rPr>
      </w:pPr>
      <w:r w:rsidRPr="0048396B">
        <w:rPr>
          <w:rFonts w:ascii="Garamond" w:hAnsi="Garamond"/>
          <w:b/>
          <w:bCs/>
          <w:lang w:val="pt-PT"/>
        </w:rPr>
        <w:t>Mapa I Índice Bretaeu no período de defeso (2006~2018)</w:t>
      </w:r>
    </w:p>
    <w:p w:rsidR="007A3D00" w:rsidRPr="0048396B" w:rsidRDefault="007A3D00" w:rsidP="007A3D00">
      <w:pPr>
        <w:rPr>
          <w:rFonts w:ascii="新細明體" w:hAnsi="新細明體"/>
          <w:bCs/>
          <w:lang w:val="pt-PT"/>
        </w:rPr>
      </w:pPr>
    </w:p>
    <w:p w:rsidR="007A3D00" w:rsidRDefault="007A3D00" w:rsidP="007A3D00">
      <w:pPr>
        <w:rPr>
          <w:rFonts w:ascii="新細明體" w:hAnsi="新細明體"/>
          <w:noProof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4323080" cy="2158365"/>
            <wp:effectExtent l="0" t="0" r="1270" b="13335"/>
            <wp:docPr id="3" name="圖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A3D00" w:rsidRDefault="007A3D00" w:rsidP="007A3D00">
      <w:pPr>
        <w:rPr>
          <w:rFonts w:ascii="新細明體" w:hAnsi="新細明體" w:cs="新細明體"/>
        </w:rPr>
      </w:pPr>
    </w:p>
    <w:p w:rsidR="007A3D00" w:rsidRDefault="007A3D00" w:rsidP="007A3D00">
      <w:pPr>
        <w:rPr>
          <w:rFonts w:ascii="新細明體" w:hAnsi="新細明體" w:cs="新細明體"/>
        </w:rPr>
      </w:pPr>
    </w:p>
    <w:p w:rsidR="007A3D00" w:rsidRDefault="007A3D00" w:rsidP="007A3D00">
      <w:pPr>
        <w:rPr>
          <w:rFonts w:ascii="新細明體" w:hAnsi="新細明體" w:cs="新細明體"/>
        </w:rPr>
      </w:pPr>
    </w:p>
    <w:p w:rsidR="007A3D00" w:rsidRDefault="007A3D00" w:rsidP="007A3D00">
      <w:pPr>
        <w:rPr>
          <w:rFonts w:ascii="新細明體" w:hAnsi="新細明體" w:cs="新細明體"/>
        </w:rPr>
      </w:pPr>
    </w:p>
    <w:p w:rsidR="007A3D00" w:rsidRPr="0048396B" w:rsidRDefault="007A3D00" w:rsidP="007A3D00">
      <w:pPr>
        <w:rPr>
          <w:rFonts w:ascii="Garamond" w:hAnsi="Garamond" w:cs="新細明體"/>
          <w:b/>
        </w:rPr>
      </w:pPr>
      <w:r w:rsidRPr="0048396B">
        <w:rPr>
          <w:rFonts w:ascii="Garamond" w:hAnsi="Garamond" w:cs="新細明體"/>
          <w:b/>
        </w:rPr>
        <w:t>圖二</w:t>
      </w:r>
      <w:r w:rsidRPr="0048396B">
        <w:rPr>
          <w:rFonts w:ascii="Garamond" w:hAnsi="Garamond" w:cs="新細明體"/>
          <w:b/>
        </w:rPr>
        <w:t xml:space="preserve"> </w:t>
      </w:r>
      <w:r w:rsidRPr="0048396B">
        <w:rPr>
          <w:rFonts w:ascii="Garamond" w:hAnsi="Garamond" w:cs="新細明體"/>
          <w:b/>
        </w:rPr>
        <w:t>休漁期漁船房屋指數，</w:t>
      </w:r>
      <w:r w:rsidRPr="0048396B">
        <w:rPr>
          <w:rFonts w:ascii="Garamond" w:hAnsi="Garamond" w:cs="新細明體"/>
          <w:b/>
        </w:rPr>
        <w:t>2006~2018</w:t>
      </w:r>
    </w:p>
    <w:p w:rsidR="0048396B" w:rsidRPr="00CE7168" w:rsidRDefault="0048396B" w:rsidP="0048396B">
      <w:pPr>
        <w:rPr>
          <w:rFonts w:ascii="Garamond" w:hAnsi="Garamond" w:cs="新細明體"/>
          <w:b/>
          <w:lang w:val="pt-PT"/>
        </w:rPr>
      </w:pPr>
      <w:r w:rsidRPr="00CE7168">
        <w:rPr>
          <w:rFonts w:ascii="Garamond" w:hAnsi="Garamond" w:cs="新細明體"/>
          <w:b/>
          <w:lang w:val="pt-PT"/>
        </w:rPr>
        <w:t>Mapa II Índice de Habitação no período de defesa (2006~2018)</w:t>
      </w:r>
    </w:p>
    <w:p w:rsidR="0048396B" w:rsidRPr="00CE7168" w:rsidRDefault="0048396B" w:rsidP="007A3D00">
      <w:pPr>
        <w:rPr>
          <w:rFonts w:ascii="新細明體" w:hAnsi="新細明體" w:cs="新細明體"/>
          <w:lang w:val="pt-PT"/>
        </w:rPr>
      </w:pPr>
    </w:p>
    <w:p w:rsidR="007A3D00" w:rsidRDefault="007A3D00" w:rsidP="007A3D00">
      <w:pPr>
        <w:rPr>
          <w:rFonts w:ascii="新細明體" w:hAnsi="新細明體"/>
          <w:noProof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4323080" cy="2158365"/>
            <wp:effectExtent l="0" t="0" r="1270" b="13335"/>
            <wp:docPr id="2" name="圖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3D00" w:rsidRDefault="007A3D00" w:rsidP="007A3D00">
      <w:pPr>
        <w:rPr>
          <w:rFonts w:ascii="新細明體" w:hAnsi="新細明體" w:cs="新細明體"/>
        </w:rPr>
      </w:pPr>
    </w:p>
    <w:p w:rsidR="007A3D00" w:rsidRDefault="007A3D00" w:rsidP="007A3D00">
      <w:pPr>
        <w:rPr>
          <w:rFonts w:ascii="新細明體" w:hAnsi="新細明體" w:cs="新細明體"/>
        </w:rPr>
      </w:pPr>
    </w:p>
    <w:p w:rsidR="007A3D00" w:rsidRPr="0048396B" w:rsidRDefault="007A3D00" w:rsidP="007A3D00">
      <w:pPr>
        <w:rPr>
          <w:rFonts w:ascii="Garamond" w:hAnsi="Garamond" w:cs="新細明體"/>
          <w:b/>
        </w:rPr>
      </w:pPr>
      <w:r w:rsidRPr="0048396B">
        <w:rPr>
          <w:rFonts w:ascii="Garamond" w:hAnsi="Garamond" w:cs="新細明體" w:hint="eastAsia"/>
          <w:b/>
        </w:rPr>
        <w:t>圖三</w:t>
      </w:r>
      <w:r w:rsidRPr="0048396B">
        <w:rPr>
          <w:rFonts w:ascii="Garamond" w:hAnsi="Garamond" w:cs="新細明體" w:hint="eastAsia"/>
          <w:b/>
        </w:rPr>
        <w:t xml:space="preserve"> </w:t>
      </w:r>
      <w:r w:rsidRPr="0048396B">
        <w:rPr>
          <w:rFonts w:ascii="Garamond" w:hAnsi="Garamond" w:cs="新細明體" w:hint="eastAsia"/>
          <w:b/>
        </w:rPr>
        <w:t>休漁期漁船容器指數，</w:t>
      </w:r>
      <w:r w:rsidRPr="0048396B">
        <w:rPr>
          <w:rFonts w:ascii="Garamond" w:hAnsi="Garamond" w:cs="新細明體" w:hint="eastAsia"/>
          <w:b/>
        </w:rPr>
        <w:t>2006~2018</w:t>
      </w:r>
    </w:p>
    <w:p w:rsidR="0048396B" w:rsidRPr="00CE7168" w:rsidRDefault="0048396B" w:rsidP="0048396B">
      <w:pPr>
        <w:rPr>
          <w:rFonts w:ascii="Garamond" w:hAnsi="Garamond" w:cs="新細明體"/>
          <w:b/>
          <w:lang w:val="pt-PT"/>
        </w:rPr>
      </w:pPr>
      <w:r w:rsidRPr="00CE7168">
        <w:rPr>
          <w:rFonts w:ascii="Garamond" w:hAnsi="Garamond" w:cs="新細明體"/>
          <w:b/>
          <w:lang w:val="pt-PT"/>
        </w:rPr>
        <w:t>Mapa III Índice de Recipiente no período de defeso (2006~2018)</w:t>
      </w:r>
    </w:p>
    <w:p w:rsidR="0048396B" w:rsidRPr="0048396B" w:rsidRDefault="0048396B" w:rsidP="007A3D00">
      <w:pPr>
        <w:rPr>
          <w:rFonts w:ascii="新細明體" w:hAnsi="新細明體"/>
          <w:bCs/>
          <w:lang w:val="pt-PT"/>
        </w:rPr>
      </w:pPr>
    </w:p>
    <w:p w:rsidR="007A3D00" w:rsidRDefault="007A3D00" w:rsidP="007A3D00">
      <w:pPr>
        <w:rPr>
          <w:rFonts w:ascii="新細明體" w:hAnsi="新細明體"/>
          <w:bCs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4323080" cy="2158365"/>
            <wp:effectExtent l="0" t="0" r="1270" b="13335"/>
            <wp:docPr id="1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717F" w:rsidRDefault="00BD717F"/>
    <w:sectPr w:rsidR="00BD71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00"/>
    <w:rsid w:val="0048396B"/>
    <w:rsid w:val="007A3D00"/>
    <w:rsid w:val="00BD717F"/>
    <w:rsid w:val="00C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889C2-2043-42A6-917B-6376E87E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00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00"/>
    <w:pPr>
      <w:jc w:val="center"/>
    </w:pPr>
    <w:rPr>
      <w:b/>
      <w:sz w:val="36"/>
      <w:szCs w:val="20"/>
    </w:rPr>
  </w:style>
  <w:style w:type="character" w:customStyle="1" w:styleId="a4">
    <w:name w:val="標題 字元"/>
    <w:basedOn w:val="a0"/>
    <w:link w:val="a3"/>
    <w:rsid w:val="007A3D00"/>
    <w:rPr>
      <w:rFonts w:ascii="Times New Roman" w:eastAsia="新細明體" w:hAnsi="Times New Roman" w:cs="Times New Roman"/>
      <w:b/>
      <w:kern w:val="2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172.20.63.253\cdc\ndiv\nidvPortHealth&amp;VectorControl\02_CSPE%20Programs%20&amp;%20Projects&#23560;&#26696;\15&#28417;&#33337;&#35519;&#26597;\2018\Book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172.20.63.253\cdc\ndiv\nidvPortHealth&amp;VectorControl\02_CSPE%20Programs%20&amp;%20Projects&#23560;&#26696;\15&#28417;&#33337;&#35519;&#26597;\2018\Book1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172.20.63.253\cdc\ndiv\nidvPortHealth&amp;VectorControl\02_CSPE%20Programs%20&amp;%20Projects&#23560;&#26696;\15&#28417;&#33337;&#35519;&#26597;\2018\Book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[Book1.xlsx]Sheet1!$A$2</c:f>
              <c:strCache>
                <c:ptCount val="1"/>
                <c:pt idx="0">
                  <c:v>布氏指數</c:v>
                </c:pt>
              </c:strCache>
            </c:strRef>
          </c:tx>
          <c:cat>
            <c:strRef>
              <c:f>[Book1.xlsx]Sheet1!$B$1:$N$1</c:f>
              <c:strCache>
                <c:ptCount val="13"/>
                <c:pt idx="0">
                  <c:v>2006年</c:v>
                </c:pt>
                <c:pt idx="1">
                  <c:v>2007年</c:v>
                </c:pt>
                <c:pt idx="2">
                  <c:v>2008年</c:v>
                </c:pt>
                <c:pt idx="3">
                  <c:v>2009年</c:v>
                </c:pt>
                <c:pt idx="4">
                  <c:v>2010年</c:v>
                </c:pt>
                <c:pt idx="5">
                  <c:v>2011年</c:v>
                </c:pt>
                <c:pt idx="6">
                  <c:v>2012年</c:v>
                </c:pt>
                <c:pt idx="7">
                  <c:v>2013年</c:v>
                </c:pt>
                <c:pt idx="8">
                  <c:v>2014年</c:v>
                </c:pt>
                <c:pt idx="9">
                  <c:v>2015年</c:v>
                </c:pt>
                <c:pt idx="10">
                  <c:v>2016年</c:v>
                </c:pt>
                <c:pt idx="11">
                  <c:v>2017年</c:v>
                </c:pt>
                <c:pt idx="12">
                  <c:v>2018年</c:v>
                </c:pt>
              </c:strCache>
            </c:strRef>
          </c:cat>
          <c:val>
            <c:numRef>
              <c:f>[Book1.xlsx]Sheet1!$B$2:$N$2</c:f>
              <c:numCache>
                <c:formatCode>General</c:formatCode>
                <c:ptCount val="13"/>
                <c:pt idx="0">
                  <c:v>1.2</c:v>
                </c:pt>
                <c:pt idx="1">
                  <c:v>3.8</c:v>
                </c:pt>
                <c:pt idx="2">
                  <c:v>4.4000000000000004</c:v>
                </c:pt>
                <c:pt idx="3">
                  <c:v>0</c:v>
                </c:pt>
                <c:pt idx="4">
                  <c:v>13.3</c:v>
                </c:pt>
                <c:pt idx="5">
                  <c:v>2.9</c:v>
                </c:pt>
                <c:pt idx="6">
                  <c:v>7.8</c:v>
                </c:pt>
                <c:pt idx="7">
                  <c:v>17.600000000000001</c:v>
                </c:pt>
                <c:pt idx="8">
                  <c:v>26</c:v>
                </c:pt>
                <c:pt idx="9">
                  <c:v>16.899999999999999</c:v>
                </c:pt>
                <c:pt idx="10">
                  <c:v>15.2</c:v>
                </c:pt>
                <c:pt idx="11">
                  <c:v>20</c:v>
                </c:pt>
                <c:pt idx="12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32-46A3-B3B6-AC2B7F7432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0662856"/>
        <c:axId val="510659720"/>
      </c:lineChart>
      <c:catAx>
        <c:axId val="510662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10659720"/>
        <c:crosses val="autoZero"/>
        <c:auto val="1"/>
        <c:lblAlgn val="ctr"/>
        <c:lblOffset val="100"/>
        <c:noMultiLvlLbl val="0"/>
      </c:catAx>
      <c:valAx>
        <c:axId val="510659720"/>
        <c:scaling>
          <c:orientation val="minMax"/>
          <c:max val="30"/>
        </c:scaling>
        <c:delete val="0"/>
        <c:axPos val="l"/>
        <c:numFmt formatCode="General" sourceLinked="1"/>
        <c:majorTickMark val="out"/>
        <c:minorTickMark val="none"/>
        <c:tickLblPos val="nextTo"/>
        <c:crossAx val="5106628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[Book1.xlsx]Sheet1!$A$5</c:f>
              <c:strCache>
                <c:ptCount val="1"/>
                <c:pt idx="0">
                  <c:v>房屋指數</c:v>
                </c:pt>
              </c:strCache>
            </c:strRef>
          </c:tx>
          <c:cat>
            <c:strRef>
              <c:f>[Book1.xlsx]Sheet1!$B$4:$N$4</c:f>
              <c:strCache>
                <c:ptCount val="13"/>
                <c:pt idx="0">
                  <c:v>2006年</c:v>
                </c:pt>
                <c:pt idx="1">
                  <c:v>2007年</c:v>
                </c:pt>
                <c:pt idx="2">
                  <c:v>2008年</c:v>
                </c:pt>
                <c:pt idx="3">
                  <c:v>2009年</c:v>
                </c:pt>
                <c:pt idx="4">
                  <c:v>2010年</c:v>
                </c:pt>
                <c:pt idx="5">
                  <c:v>2011年</c:v>
                </c:pt>
                <c:pt idx="6">
                  <c:v>2012年</c:v>
                </c:pt>
                <c:pt idx="7">
                  <c:v>2013年</c:v>
                </c:pt>
                <c:pt idx="8">
                  <c:v>2014年</c:v>
                </c:pt>
                <c:pt idx="9">
                  <c:v>2015年</c:v>
                </c:pt>
                <c:pt idx="10">
                  <c:v>2016年</c:v>
                </c:pt>
                <c:pt idx="11">
                  <c:v>2017年</c:v>
                </c:pt>
                <c:pt idx="12">
                  <c:v>2018年</c:v>
                </c:pt>
              </c:strCache>
            </c:strRef>
          </c:cat>
          <c:val>
            <c:numRef>
              <c:f>[Book1.xlsx]Sheet1!$B$5:$N$5</c:f>
              <c:numCache>
                <c:formatCode>0.0%</c:formatCode>
                <c:ptCount val="13"/>
                <c:pt idx="0">
                  <c:v>1.2E-2</c:v>
                </c:pt>
                <c:pt idx="1">
                  <c:v>3.7999999999999999E-2</c:v>
                </c:pt>
                <c:pt idx="2">
                  <c:v>4.3999999999999997E-2</c:v>
                </c:pt>
                <c:pt idx="3">
                  <c:v>0</c:v>
                </c:pt>
                <c:pt idx="4">
                  <c:v>6.7000000000000004E-2</c:v>
                </c:pt>
                <c:pt idx="5">
                  <c:v>2.9000000000000001E-2</c:v>
                </c:pt>
                <c:pt idx="6">
                  <c:v>5.6000000000000001E-2</c:v>
                </c:pt>
                <c:pt idx="7">
                  <c:v>0.156</c:v>
                </c:pt>
                <c:pt idx="8">
                  <c:v>0.19500000000000001</c:v>
                </c:pt>
                <c:pt idx="9">
                  <c:v>0.14599999999999999</c:v>
                </c:pt>
                <c:pt idx="10">
                  <c:v>0.127</c:v>
                </c:pt>
                <c:pt idx="11">
                  <c:v>0.14299999999999999</c:v>
                </c:pt>
                <c:pt idx="12" formatCode="0.00%">
                  <c:v>0.216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7A4-4B86-B2B9-B975713C42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0661680"/>
        <c:axId val="514008152"/>
      </c:lineChart>
      <c:catAx>
        <c:axId val="510661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14008152"/>
        <c:crosses val="autoZero"/>
        <c:auto val="1"/>
        <c:lblAlgn val="ctr"/>
        <c:lblOffset val="100"/>
        <c:noMultiLvlLbl val="0"/>
      </c:catAx>
      <c:valAx>
        <c:axId val="514008152"/>
        <c:scaling>
          <c:orientation val="minMax"/>
          <c:max val="0.30000000000000004"/>
        </c:scaling>
        <c:delete val="0"/>
        <c:axPos val="l"/>
        <c:numFmt formatCode="0.0%" sourceLinked="1"/>
        <c:majorTickMark val="out"/>
        <c:minorTickMark val="none"/>
        <c:tickLblPos val="nextTo"/>
        <c:crossAx val="5106616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[Book1.xlsx]Sheet1!$A$8</c:f>
              <c:strCache>
                <c:ptCount val="1"/>
                <c:pt idx="0">
                  <c:v>容器指數</c:v>
                </c:pt>
              </c:strCache>
            </c:strRef>
          </c:tx>
          <c:cat>
            <c:strRef>
              <c:f>[Book1.xlsx]Sheet1!$B$7:$N$7</c:f>
              <c:strCache>
                <c:ptCount val="13"/>
                <c:pt idx="0">
                  <c:v>2006年</c:v>
                </c:pt>
                <c:pt idx="1">
                  <c:v>2007年</c:v>
                </c:pt>
                <c:pt idx="2">
                  <c:v>2008年</c:v>
                </c:pt>
                <c:pt idx="3">
                  <c:v>2009年</c:v>
                </c:pt>
                <c:pt idx="4">
                  <c:v>2010年</c:v>
                </c:pt>
                <c:pt idx="5">
                  <c:v>2011年</c:v>
                </c:pt>
                <c:pt idx="6">
                  <c:v>2012年</c:v>
                </c:pt>
                <c:pt idx="7">
                  <c:v>2013年</c:v>
                </c:pt>
                <c:pt idx="8">
                  <c:v>2014年</c:v>
                </c:pt>
                <c:pt idx="9">
                  <c:v>2015年</c:v>
                </c:pt>
                <c:pt idx="10">
                  <c:v>2016年</c:v>
                </c:pt>
                <c:pt idx="11">
                  <c:v>2017年</c:v>
                </c:pt>
                <c:pt idx="12">
                  <c:v>2018年</c:v>
                </c:pt>
              </c:strCache>
            </c:strRef>
          </c:cat>
          <c:val>
            <c:numRef>
              <c:f>[Book1.xlsx]Sheet1!$B$8:$N$8</c:f>
              <c:numCache>
                <c:formatCode>0.0%</c:formatCode>
                <c:ptCount val="13"/>
                <c:pt idx="0">
                  <c:v>1E-3</c:v>
                </c:pt>
                <c:pt idx="1">
                  <c:v>0.01</c:v>
                </c:pt>
                <c:pt idx="2">
                  <c:v>7.0000000000000001E-3</c:v>
                </c:pt>
                <c:pt idx="3">
                  <c:v>0</c:v>
                </c:pt>
                <c:pt idx="4">
                  <c:v>0.02</c:v>
                </c:pt>
                <c:pt idx="5">
                  <c:v>4.0000000000000001E-3</c:v>
                </c:pt>
                <c:pt idx="6">
                  <c:v>8.0000000000000002E-3</c:v>
                </c:pt>
                <c:pt idx="7">
                  <c:v>2.1000000000000001E-2</c:v>
                </c:pt>
                <c:pt idx="8">
                  <c:v>0.06</c:v>
                </c:pt>
                <c:pt idx="9">
                  <c:v>2.5999999999999999E-2</c:v>
                </c:pt>
                <c:pt idx="10">
                  <c:v>1.9E-2</c:v>
                </c:pt>
                <c:pt idx="11">
                  <c:v>1.6E-2</c:v>
                </c:pt>
                <c:pt idx="12" formatCode="0.00%">
                  <c:v>0.08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CB-426D-82A1-D71C3B661F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0662072"/>
        <c:axId val="510662464"/>
      </c:lineChart>
      <c:catAx>
        <c:axId val="510662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10662464"/>
        <c:crosses val="autoZero"/>
        <c:auto val="1"/>
        <c:lblAlgn val="ctr"/>
        <c:lblOffset val="100"/>
        <c:noMultiLvlLbl val="0"/>
      </c:catAx>
      <c:valAx>
        <c:axId val="510662464"/>
        <c:scaling>
          <c:orientation val="minMax"/>
          <c:max val="0.1"/>
        </c:scaling>
        <c:delete val="0"/>
        <c:axPos val="l"/>
        <c:numFmt formatCode="0.0%" sourceLinked="1"/>
        <c:majorTickMark val="out"/>
        <c:minorTickMark val="none"/>
        <c:tickLblPos val="nextTo"/>
        <c:crossAx val="5106620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6EFD-9F00-419C-BA3F-2FFE81BC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Cheng Cheng</dc:creator>
  <cp:keywords/>
  <dc:description/>
  <cp:lastModifiedBy>Chan Cheng Cheng</cp:lastModifiedBy>
  <cp:revision>3</cp:revision>
  <dcterms:created xsi:type="dcterms:W3CDTF">2018-06-14T11:10:00Z</dcterms:created>
  <dcterms:modified xsi:type="dcterms:W3CDTF">2018-06-14T11:18:00Z</dcterms:modified>
</cp:coreProperties>
</file>