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831" w:rsidRDefault="00622831" w:rsidP="00622831">
      <w:pPr>
        <w:jc w:val="center"/>
        <w:rPr>
          <w:rFonts w:ascii="Times New Roman" w:hAnsi="Times New Roman" w:cs="Times New Roman"/>
          <w:szCs w:val="24"/>
        </w:rPr>
      </w:pPr>
    </w:p>
    <w:p w:rsidR="00622831" w:rsidRDefault="00622831" w:rsidP="002333AD">
      <w:pPr>
        <w:rPr>
          <w:rFonts w:ascii="Times New Roman" w:hAnsi="Times New Roman" w:cs="Times New Roman"/>
          <w:szCs w:val="24"/>
        </w:rPr>
      </w:pPr>
    </w:p>
    <w:p w:rsidR="00622831" w:rsidRPr="00436DF4" w:rsidRDefault="00257C73" w:rsidP="0044070C">
      <w:pPr>
        <w:spacing w:line="400" w:lineRule="exact"/>
        <w:contextualSpacing/>
        <w:jc w:val="center"/>
        <w:rPr>
          <w:rFonts w:ascii="Times New Roman" w:eastAsia="標楷體" w:hAnsi="Times New Roman" w:cs="Times New Roman"/>
          <w:b/>
          <w:color w:val="4F81BD" w:themeColor="accent1"/>
          <w:sz w:val="36"/>
          <w:szCs w:val="24"/>
          <w:lang w:val="pt-PT"/>
        </w:rPr>
      </w:pPr>
      <w:r w:rsidRPr="00436DF4">
        <w:rPr>
          <w:rFonts w:ascii="Times New Roman" w:eastAsia="標楷體" w:hAnsi="Times New Roman" w:cs="Times New Roman"/>
          <w:b/>
          <w:color w:val="4F81BD" w:themeColor="accent1"/>
          <w:sz w:val="36"/>
          <w:szCs w:val="24"/>
          <w:lang w:val="pt-PT"/>
        </w:rPr>
        <w:t>Canais de pagamento dos bancos designados</w:t>
      </w:r>
      <w:r w:rsidR="0044070C" w:rsidRPr="00436DF4">
        <w:rPr>
          <w:rFonts w:ascii="Times New Roman" w:eastAsia="標楷體" w:hAnsi="Times New Roman" w:cs="Times New Roman"/>
          <w:b/>
          <w:color w:val="4F81BD" w:themeColor="accent1"/>
          <w:sz w:val="36"/>
          <w:szCs w:val="24"/>
          <w:lang w:val="pt-PT"/>
        </w:rPr>
        <w:t xml:space="preserve"> “em caso de não haver o movimento de emprego dos trabalhadores”</w:t>
      </w:r>
    </w:p>
    <w:p w:rsidR="00622831" w:rsidRPr="00436DF4" w:rsidRDefault="00622831" w:rsidP="00622831">
      <w:pPr>
        <w:jc w:val="center"/>
        <w:rPr>
          <w:rFonts w:ascii="Times New Roman" w:hAnsi="Times New Roman" w:cs="Times New Roman"/>
          <w:sz w:val="2"/>
          <w:szCs w:val="24"/>
          <w:lang w:val="pt-PT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1813"/>
        <w:gridCol w:w="1814"/>
        <w:gridCol w:w="1814"/>
      </w:tblGrid>
      <w:tr w:rsidR="00622831" w:rsidRPr="00436DF4" w:rsidTr="00257C73">
        <w:trPr>
          <w:trHeight w:val="720"/>
        </w:trPr>
        <w:tc>
          <w:tcPr>
            <w:tcW w:w="4111" w:type="dxa"/>
            <w:vMerge w:val="restart"/>
            <w:shd w:val="clear" w:color="auto" w:fill="C9EEA4"/>
            <w:vAlign w:val="center"/>
          </w:tcPr>
          <w:p w:rsidR="00622831" w:rsidRPr="00436DF4" w:rsidRDefault="00257C73" w:rsidP="00A742F1">
            <w:pPr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kern w:val="0"/>
                <w:szCs w:val="24"/>
                <w:bdr w:val="none" w:sz="0" w:space="0" w:color="auto" w:frame="1"/>
                <w:lang w:val="pt-PT"/>
              </w:rPr>
              <w:t>Nome do banco</w:t>
            </w:r>
          </w:p>
        </w:tc>
        <w:tc>
          <w:tcPr>
            <w:tcW w:w="5441" w:type="dxa"/>
            <w:gridSpan w:val="3"/>
            <w:shd w:val="clear" w:color="auto" w:fill="A1DDF9"/>
            <w:vAlign w:val="center"/>
          </w:tcPr>
          <w:p w:rsidR="00622831" w:rsidRPr="00436DF4" w:rsidRDefault="00257C73" w:rsidP="00A742F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val="pt-PT"/>
              </w:rPr>
              <w:t>Formas de pagamento</w:t>
            </w:r>
          </w:p>
        </w:tc>
      </w:tr>
      <w:tr w:rsidR="00257C73" w:rsidRPr="00436DF4" w:rsidTr="00257C73">
        <w:trPr>
          <w:trHeight w:val="720"/>
        </w:trPr>
        <w:tc>
          <w:tcPr>
            <w:tcW w:w="4111" w:type="dxa"/>
            <w:vMerge/>
            <w:shd w:val="clear" w:color="auto" w:fill="C9EEA4"/>
            <w:vAlign w:val="center"/>
          </w:tcPr>
          <w:p w:rsidR="00257C73" w:rsidRPr="00436DF4" w:rsidRDefault="00257C73" w:rsidP="00257C73">
            <w:pPr>
              <w:jc w:val="center"/>
              <w:rPr>
                <w:rFonts w:ascii="Times New Roman" w:hAnsi="Times New Roman" w:cs="Times New Roman"/>
                <w:szCs w:val="24"/>
                <w:lang w:val="pt-PT"/>
              </w:rPr>
            </w:pPr>
          </w:p>
        </w:tc>
        <w:tc>
          <w:tcPr>
            <w:tcW w:w="1813" w:type="dxa"/>
            <w:shd w:val="clear" w:color="auto" w:fill="75CEF8"/>
            <w:vAlign w:val="center"/>
          </w:tcPr>
          <w:p w:rsidR="00257C73" w:rsidRPr="00436DF4" w:rsidRDefault="00257C73" w:rsidP="00257C73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Style w:val="a7"/>
                <w:rFonts w:ascii="Times New Roman" w:hAnsi="Times New Roman" w:cs="Times New Roman"/>
                <w:color w:val="333333"/>
                <w:szCs w:val="24"/>
                <w:lang w:val="pt-PT"/>
              </w:rPr>
              <w:t>Balcão</w:t>
            </w:r>
          </w:p>
        </w:tc>
        <w:tc>
          <w:tcPr>
            <w:tcW w:w="1814" w:type="dxa"/>
            <w:shd w:val="clear" w:color="auto" w:fill="75CEF8"/>
            <w:vAlign w:val="center"/>
          </w:tcPr>
          <w:p w:rsidR="00257C73" w:rsidRPr="00436DF4" w:rsidRDefault="00257C73" w:rsidP="00257C73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Style w:val="a7"/>
                <w:rFonts w:ascii="Times New Roman" w:hAnsi="Times New Roman" w:cs="Times New Roman"/>
                <w:color w:val="333333"/>
                <w:szCs w:val="24"/>
                <w:lang w:val="pt-PT"/>
              </w:rPr>
              <w:t>Banco </w:t>
            </w:r>
            <w:r w:rsidRPr="00436DF4">
              <w:rPr>
                <w:rStyle w:val="a9"/>
                <w:rFonts w:ascii="Times New Roman" w:hAnsi="Times New Roman" w:cs="Times New Roman"/>
                <w:b/>
                <w:bCs/>
                <w:color w:val="333333"/>
                <w:szCs w:val="24"/>
                <w:bdr w:val="none" w:sz="0" w:space="0" w:color="auto" w:frame="1"/>
                <w:lang w:val="pt-PT"/>
              </w:rPr>
              <w:t>online</w:t>
            </w:r>
          </w:p>
        </w:tc>
        <w:tc>
          <w:tcPr>
            <w:tcW w:w="1814" w:type="dxa"/>
            <w:shd w:val="clear" w:color="auto" w:fill="75CEF8"/>
            <w:vAlign w:val="center"/>
          </w:tcPr>
          <w:p w:rsidR="00257C73" w:rsidRPr="00436DF4" w:rsidRDefault="00257C73" w:rsidP="00257C73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Style w:val="a7"/>
                <w:rFonts w:ascii="Times New Roman" w:hAnsi="Times New Roman" w:cs="Times New Roman"/>
                <w:color w:val="333333"/>
                <w:szCs w:val="24"/>
                <w:lang w:val="pt-PT"/>
              </w:rPr>
              <w:t>BOC EXPRESS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  <w:lang w:val="pt-PT"/>
              </w:rPr>
            </w:pPr>
            <w:hyperlink r:id="rId7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da China, Sucursal de Macau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  <w:lang w:val="pt-PT"/>
              </w:rPr>
            </w:pPr>
            <w:hyperlink r:id="rId8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Industrial e Comercial da China (Macau), S.A.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  <w:lang w:val="pt-PT"/>
              </w:rPr>
            </w:pPr>
            <w:hyperlink r:id="rId9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Comercial de Macau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jc w:val="center"/>
              <w:rPr>
                <w:rFonts w:ascii="Times New Roman" w:hAnsi="Times New Roman" w:cs="Times New Roman"/>
                <w:color w:val="333333"/>
                <w:szCs w:val="24"/>
                <w:lang w:val="pt-PT"/>
              </w:rPr>
            </w:pPr>
            <w:hyperlink r:id="rId10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Tai Fung, S.A.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  <w:lang w:val="pt-PT"/>
              </w:rPr>
            </w:pPr>
            <w:hyperlink r:id="rId11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Nacional Ultramarino, S.A.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  <w:lang w:val="pt-PT"/>
              </w:rPr>
            </w:pPr>
            <w:r w:rsidRPr="00436DF4"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  <w:t>Banco de Construção da China, S.A. Sucursal de Macau</w:t>
            </w:r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</w:pPr>
            <w:r w:rsidRPr="00436DF4"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  <w:t>Banco de Guan</w:t>
            </w:r>
            <w:r w:rsidR="0002145E" w:rsidRPr="00436DF4"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  <w:t>g</w:t>
            </w:r>
            <w:r w:rsidRPr="00436DF4"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  <w:t>fa da China, S.A., Sucursal de Macau</w:t>
            </w:r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</w:pPr>
            <w:r w:rsidRPr="00436DF4"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  <w:t>Banco Well Link, S.A.</w:t>
            </w:r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Style w:val="a8"/>
                <w:rFonts w:ascii="Times New Roman" w:hAnsi="Times New Roman" w:cs="Times New Roman"/>
                <w:color w:val="0066CC"/>
                <w:szCs w:val="24"/>
                <w:u w:val="none"/>
                <w:lang w:val="pt-PT"/>
              </w:rPr>
            </w:pPr>
            <w:hyperlink r:id="rId12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lang w:val="pt-PT"/>
                </w:rPr>
                <w:t>Banco OCBC Weng Hang, S.A.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  <w:lang w:val="pt-PT"/>
              </w:rPr>
            </w:pPr>
            <w:hyperlink r:id="rId13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Chinês de Macau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  <w:lang w:val="pt-PT"/>
              </w:rPr>
            </w:pPr>
            <w:hyperlink r:id="rId14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Luso Internacional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  <w:tr w:rsidR="00622831" w:rsidRPr="00436DF4" w:rsidTr="00E100C1">
        <w:trPr>
          <w:trHeight w:val="720"/>
        </w:trPr>
        <w:tc>
          <w:tcPr>
            <w:tcW w:w="4111" w:type="dxa"/>
            <w:shd w:val="clear" w:color="auto" w:fill="C9EEA4"/>
            <w:vAlign w:val="center"/>
          </w:tcPr>
          <w:p w:rsidR="00622831" w:rsidRPr="00436DF4" w:rsidRDefault="0041396D" w:rsidP="00622831">
            <w:pPr>
              <w:jc w:val="center"/>
              <w:rPr>
                <w:rFonts w:ascii="Times New Roman" w:hAnsi="Times New Roman" w:cs="Times New Roman"/>
                <w:color w:val="333333"/>
                <w:szCs w:val="24"/>
                <w:lang w:val="pt-PT"/>
              </w:rPr>
            </w:pPr>
            <w:hyperlink r:id="rId15" w:tgtFrame="_blank" w:history="1">
              <w:r w:rsidR="00622831" w:rsidRPr="00436DF4">
                <w:rPr>
                  <w:rStyle w:val="a8"/>
                  <w:rFonts w:ascii="Times New Roman" w:hAnsi="Times New Roman" w:cs="Times New Roman"/>
                  <w:color w:val="0066CC"/>
                  <w:szCs w:val="24"/>
                  <w:u w:val="none"/>
                  <w:bdr w:val="none" w:sz="0" w:space="0" w:color="auto" w:frame="1"/>
                  <w:lang w:val="pt-PT"/>
                </w:rPr>
                <w:t>Banco Delta Ásia, S.A.R.L</w:t>
              </w:r>
            </w:hyperlink>
          </w:p>
        </w:tc>
        <w:tc>
          <w:tcPr>
            <w:tcW w:w="1813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√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  <w:tc>
          <w:tcPr>
            <w:tcW w:w="1814" w:type="dxa"/>
            <w:vAlign w:val="center"/>
          </w:tcPr>
          <w:p w:rsidR="00622831" w:rsidRPr="00436DF4" w:rsidRDefault="00622831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</w:pPr>
            <w:r w:rsidRPr="00436DF4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  <w:lang w:val="pt-PT"/>
              </w:rPr>
              <w:t>---</w:t>
            </w:r>
          </w:p>
        </w:tc>
      </w:tr>
    </w:tbl>
    <w:p w:rsidR="00622831" w:rsidRPr="00436DF4" w:rsidRDefault="00622831" w:rsidP="00622831">
      <w:pPr>
        <w:jc w:val="center"/>
        <w:rPr>
          <w:rFonts w:ascii="Times New Roman" w:hAnsi="Times New Roman" w:cs="Times New Roman"/>
          <w:szCs w:val="24"/>
          <w:lang w:val="pt-PT"/>
        </w:rPr>
      </w:pPr>
    </w:p>
    <w:p w:rsidR="00257C73" w:rsidRPr="00436DF4" w:rsidRDefault="00257C73" w:rsidP="00257C73">
      <w:pPr>
        <w:ind w:leftChars="59" w:left="142" w:rightChars="44" w:right="106"/>
        <w:jc w:val="center"/>
        <w:rPr>
          <w:rFonts w:ascii="Times New Roman" w:hAnsi="Times New Roman" w:cs="Times New Roman"/>
          <w:szCs w:val="24"/>
          <w:lang w:val="pt-PT"/>
        </w:rPr>
      </w:pPr>
      <w:r w:rsidRPr="00436DF4">
        <w:rPr>
          <w:rFonts w:ascii="Times New Roman" w:hAnsi="Times New Roman" w:cs="Times New Roman"/>
          <w:szCs w:val="24"/>
          <w:lang w:val="pt-PT"/>
        </w:rPr>
        <w:t xml:space="preserve">Nota: com o mapa-guia de pagamento das contribuições sem correcções, pode ser efectuado nos </w:t>
      </w:r>
    </w:p>
    <w:p w:rsidR="00257C73" w:rsidRPr="00436DF4" w:rsidRDefault="00257C73" w:rsidP="00A85F2F">
      <w:pPr>
        <w:ind w:rightChars="-14" w:right="-34"/>
        <w:jc w:val="both"/>
        <w:rPr>
          <w:rFonts w:ascii="Times New Roman" w:hAnsi="Times New Roman" w:cs="Times New Roman"/>
          <w:szCs w:val="24"/>
          <w:lang w:val="pt-PT"/>
        </w:rPr>
      </w:pPr>
      <w:r w:rsidRPr="00436DF4">
        <w:rPr>
          <w:rFonts w:ascii="Times New Roman" w:hAnsi="Times New Roman" w:cs="Times New Roman"/>
          <w:szCs w:val="24"/>
          <w:lang w:val="pt-PT"/>
        </w:rPr>
        <w:t xml:space="preserve">  </w:t>
      </w:r>
      <w:r w:rsidR="00A85F2F" w:rsidRPr="00436DF4">
        <w:rPr>
          <w:rFonts w:ascii="Times New Roman" w:hAnsi="Times New Roman" w:cs="Times New Roman"/>
          <w:szCs w:val="24"/>
          <w:lang w:val="pt-PT"/>
        </w:rPr>
        <w:t xml:space="preserve">     </w:t>
      </w:r>
      <w:r w:rsidRPr="00436DF4">
        <w:rPr>
          <w:rFonts w:ascii="Times New Roman" w:hAnsi="Times New Roman" w:cs="Times New Roman"/>
          <w:szCs w:val="24"/>
          <w:lang w:val="pt-PT"/>
        </w:rPr>
        <w:t xml:space="preserve"> balcões dos bancos por cheque ou ordem de caixa (em nome do “Fundo de Segurança</w:t>
      </w:r>
    </w:p>
    <w:p w:rsidR="00257C73" w:rsidRPr="00436DF4" w:rsidRDefault="00257C73" w:rsidP="00257C73">
      <w:pPr>
        <w:ind w:rightChars="44" w:right="106"/>
        <w:jc w:val="center"/>
        <w:rPr>
          <w:rFonts w:ascii="Times New Roman" w:hAnsi="Times New Roman" w:cs="Times New Roman"/>
          <w:szCs w:val="24"/>
          <w:lang w:val="pt-PT"/>
        </w:rPr>
      </w:pPr>
      <w:r w:rsidRPr="00436DF4">
        <w:rPr>
          <w:rFonts w:ascii="Times New Roman" w:hAnsi="Times New Roman" w:cs="Times New Roman"/>
          <w:szCs w:val="24"/>
          <w:lang w:val="pt-PT"/>
        </w:rPr>
        <w:t xml:space="preserve">      Social”) ou dedução de verbas da conta bancária de um dos bancos acima mencionados. </w:t>
      </w:r>
    </w:p>
    <w:p w:rsidR="00622831" w:rsidRPr="00436DF4" w:rsidRDefault="00257C73" w:rsidP="0041396D">
      <w:pPr>
        <w:ind w:rightChars="44" w:right="106" w:firstLineChars="400" w:firstLine="960"/>
        <w:rPr>
          <w:rFonts w:ascii="Times New Roman" w:hAnsi="Times New Roman" w:cs="Times New Roman" w:hint="eastAsia"/>
          <w:szCs w:val="24"/>
          <w:lang w:val="pt-PT"/>
        </w:rPr>
      </w:pPr>
      <w:r w:rsidRPr="00436DF4">
        <w:rPr>
          <w:rFonts w:ascii="Times New Roman" w:hAnsi="Times New Roman" w:cs="Times New Roman"/>
          <w:szCs w:val="24"/>
          <w:lang w:val="pt-PT"/>
        </w:rPr>
        <w:t>Todas as formas de pagamento devem ser feitas em patacas.</w:t>
      </w:r>
      <w:bookmarkStart w:id="0" w:name="_GoBack"/>
      <w:bookmarkEnd w:id="0"/>
    </w:p>
    <w:sectPr w:rsidR="00622831" w:rsidRPr="00436DF4" w:rsidSect="00512A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F2" w:rsidRDefault="00822DF2" w:rsidP="00D6190D">
      <w:r>
        <w:separator/>
      </w:r>
    </w:p>
  </w:endnote>
  <w:endnote w:type="continuationSeparator" w:id="0">
    <w:p w:rsidR="00822DF2" w:rsidRDefault="00822DF2" w:rsidP="00D6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F2" w:rsidRDefault="00822DF2" w:rsidP="00D6190D">
      <w:r>
        <w:separator/>
      </w:r>
    </w:p>
  </w:footnote>
  <w:footnote w:type="continuationSeparator" w:id="0">
    <w:p w:rsidR="00822DF2" w:rsidRDefault="00822DF2" w:rsidP="00D6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B4F59"/>
    <w:multiLevelType w:val="multilevel"/>
    <w:tmpl w:val="A1C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3E"/>
    <w:rsid w:val="0001326D"/>
    <w:rsid w:val="0002145E"/>
    <w:rsid w:val="0004737E"/>
    <w:rsid w:val="000878EA"/>
    <w:rsid w:val="00100D54"/>
    <w:rsid w:val="001E494B"/>
    <w:rsid w:val="002333AD"/>
    <w:rsid w:val="00257C73"/>
    <w:rsid w:val="00314886"/>
    <w:rsid w:val="00373AE7"/>
    <w:rsid w:val="003E0498"/>
    <w:rsid w:val="003E28C1"/>
    <w:rsid w:val="0041396D"/>
    <w:rsid w:val="00436DF4"/>
    <w:rsid w:val="0044070C"/>
    <w:rsid w:val="00495D1E"/>
    <w:rsid w:val="004F50D5"/>
    <w:rsid w:val="00512ACF"/>
    <w:rsid w:val="00622831"/>
    <w:rsid w:val="00634DA2"/>
    <w:rsid w:val="006D1751"/>
    <w:rsid w:val="00760CFF"/>
    <w:rsid w:val="007B63A5"/>
    <w:rsid w:val="007E34E1"/>
    <w:rsid w:val="00822DF2"/>
    <w:rsid w:val="00840FAE"/>
    <w:rsid w:val="00884732"/>
    <w:rsid w:val="008E5837"/>
    <w:rsid w:val="009140BA"/>
    <w:rsid w:val="00A85F2F"/>
    <w:rsid w:val="00B1114E"/>
    <w:rsid w:val="00B3548D"/>
    <w:rsid w:val="00B75446"/>
    <w:rsid w:val="00BB7E08"/>
    <w:rsid w:val="00BC49F0"/>
    <w:rsid w:val="00CE7B9F"/>
    <w:rsid w:val="00D2453E"/>
    <w:rsid w:val="00D612E3"/>
    <w:rsid w:val="00D6190D"/>
    <w:rsid w:val="00DB04F3"/>
    <w:rsid w:val="00DD4481"/>
    <w:rsid w:val="00E100C1"/>
    <w:rsid w:val="00E96FE2"/>
    <w:rsid w:val="00EA266B"/>
    <w:rsid w:val="00ED3440"/>
    <w:rsid w:val="00EF21B3"/>
    <w:rsid w:val="00F32A3B"/>
    <w:rsid w:val="00F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17EF61"/>
  <w15:docId w15:val="{5C1A9F12-DF68-48D0-A29E-0869BF3C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90D"/>
    <w:rPr>
      <w:sz w:val="20"/>
      <w:szCs w:val="20"/>
    </w:rPr>
  </w:style>
  <w:style w:type="character" w:styleId="a7">
    <w:name w:val="Strong"/>
    <w:basedOn w:val="a0"/>
    <w:uiPriority w:val="22"/>
    <w:qFormat/>
    <w:rsid w:val="00D6190D"/>
    <w:rPr>
      <w:b/>
      <w:bCs/>
    </w:rPr>
  </w:style>
  <w:style w:type="character" w:styleId="a8">
    <w:name w:val="Hyperlink"/>
    <w:basedOn w:val="a0"/>
    <w:uiPriority w:val="99"/>
    <w:unhideWhenUsed/>
    <w:rsid w:val="00D6190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96F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Emphasis"/>
    <w:basedOn w:val="a0"/>
    <w:uiPriority w:val="20"/>
    <w:qFormat/>
    <w:rsid w:val="00840FAE"/>
    <w:rPr>
      <w:i/>
      <w:iCs/>
    </w:rPr>
  </w:style>
  <w:style w:type="table" w:styleId="aa">
    <w:name w:val="Table Grid"/>
    <w:basedOn w:val="a1"/>
    <w:uiPriority w:val="59"/>
    <w:unhideWhenUsed/>
    <w:rsid w:val="0051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D448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0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00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.com.cn/icbc/%E6%B5%B7%E5%A4%96%E5%88%86%E8%A1%8C/%E5%B7%A5%E9%93%B6%E6%BE%B3%E9%97%A8/tc/index.htm" TargetMode="External"/><Relationship Id="rId13" Type="http://schemas.openxmlformats.org/officeDocument/2006/relationships/hyperlink" Target="http://www.mcb.com.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cmacau.com/" TargetMode="External"/><Relationship Id="rId12" Type="http://schemas.openxmlformats.org/officeDocument/2006/relationships/hyperlink" Target="http://www.ocbcwhmac.com/applications/cms/asp/index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nu.com.mo/p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lta-asia.com/" TargetMode="External"/><Relationship Id="rId10" Type="http://schemas.openxmlformats.org/officeDocument/2006/relationships/hyperlink" Target="http://www.taifungban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cm.com.mo/" TargetMode="External"/><Relationship Id="rId14" Type="http://schemas.openxmlformats.org/officeDocument/2006/relationships/hyperlink" Target="http://www.lusobank.com.mo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KenLou</dc:creator>
  <cp:keywords/>
  <dc:description/>
  <cp:lastModifiedBy>Dorcas Kuok</cp:lastModifiedBy>
  <cp:revision>41</cp:revision>
  <cp:lastPrinted>2022-03-15T01:43:00Z</cp:lastPrinted>
  <dcterms:created xsi:type="dcterms:W3CDTF">2022-01-18T08:50:00Z</dcterms:created>
  <dcterms:modified xsi:type="dcterms:W3CDTF">2022-03-23T05:11:00Z</dcterms:modified>
</cp:coreProperties>
</file>